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C3" w:rsidRDefault="009375C3" w:rsidP="00751459">
      <w:pPr>
        <w:rPr>
          <w:rFonts w:ascii="Gill Sans MT" w:hAnsi="Gill Sans MT"/>
          <w:b/>
          <w:bCs/>
          <w:sz w:val="40"/>
          <w:szCs w:val="40"/>
        </w:rPr>
      </w:pPr>
    </w:p>
    <w:p w:rsidR="00751459" w:rsidRDefault="00751459" w:rsidP="00751459">
      <w:pPr>
        <w:rPr>
          <w:rFonts w:ascii="Gill Sans MT" w:hAnsi="Gill Sans MT"/>
          <w:b/>
          <w:bCs/>
          <w:sz w:val="40"/>
          <w:szCs w:val="40"/>
        </w:rPr>
      </w:pPr>
    </w:p>
    <w:p w:rsidR="006058AD" w:rsidRPr="006E2C93" w:rsidRDefault="006058AD" w:rsidP="006E2C93">
      <w:pPr>
        <w:jc w:val="right"/>
        <w:rPr>
          <w:rFonts w:ascii="Gill Sans MT" w:hAnsi="Gill Sans MT"/>
          <w:b/>
          <w:bCs/>
          <w:color w:val="5B9BD5" w:themeColor="accent5"/>
          <w:sz w:val="56"/>
          <w:szCs w:val="56"/>
        </w:rPr>
      </w:pPr>
      <w:r w:rsidRPr="006E2C93">
        <w:rPr>
          <w:rFonts w:ascii="Gill Sans MT" w:hAnsi="Gill Sans MT"/>
          <w:b/>
          <w:bCs/>
          <w:noProof/>
          <w:color w:val="5B9BD5" w:themeColor="accent5"/>
          <w:sz w:val="56"/>
          <w:szCs w:val="56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535680" cy="1247140"/>
            <wp:effectExtent l="0" t="0" r="7620" b="0"/>
            <wp:wrapSquare wrapText="bothSides"/>
            <wp:docPr id="259146" name="Imagen 2" descr="Texto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8C3FC0-1C1F-0C2E-3F63-AB178E641A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46" name="Imagen 2" descr="Texto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8C3FC0-1C1F-0C2E-3F63-AB178E641A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39" cy="126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2C93">
        <w:rPr>
          <w:rFonts w:ascii="Gill Sans MT" w:hAnsi="Gill Sans MT"/>
          <w:b/>
          <w:bCs/>
          <w:color w:val="5B9BD5" w:themeColor="accent5"/>
          <w:sz w:val="56"/>
          <w:szCs w:val="56"/>
        </w:rPr>
        <w:t>PLAN OPERATIVO ANUAL 2024</w:t>
      </w:r>
    </w:p>
    <w:p w:rsidR="006058AD" w:rsidRPr="006E2C93" w:rsidRDefault="006058AD" w:rsidP="006E2C93">
      <w:pPr>
        <w:ind w:left="708" w:firstLine="708"/>
        <w:jc w:val="right"/>
        <w:rPr>
          <w:rFonts w:ascii="Gill Sans MT" w:hAnsi="Gill Sans MT"/>
          <w:b/>
          <w:bCs/>
          <w:color w:val="5B9BD5" w:themeColor="accent5"/>
          <w:sz w:val="56"/>
          <w:szCs w:val="56"/>
        </w:rPr>
      </w:pPr>
      <w:r w:rsidRPr="006E2C93">
        <w:rPr>
          <w:rFonts w:ascii="Gill Sans MT" w:hAnsi="Gill Sans MT"/>
          <w:b/>
          <w:bCs/>
          <w:color w:val="5B9BD5" w:themeColor="accent5"/>
          <w:sz w:val="56"/>
          <w:szCs w:val="56"/>
        </w:rPr>
        <w:t>-POA 2024-</w:t>
      </w:r>
    </w:p>
    <w:p w:rsidR="006058AD" w:rsidRDefault="006058AD"/>
    <w:p w:rsidR="00751459" w:rsidRDefault="00751459"/>
    <w:tbl>
      <w:tblPr>
        <w:tblW w:w="1658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6585"/>
      </w:tblGrid>
      <w:tr w:rsidR="00EC436C" w:rsidRPr="006058AD" w:rsidTr="009375C3">
        <w:trPr>
          <w:trHeight w:val="574"/>
          <w:jc w:val="center"/>
        </w:trPr>
        <w:tc>
          <w:tcPr>
            <w:tcW w:w="16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36C" w:rsidRPr="006058AD" w:rsidRDefault="00EC436C" w:rsidP="00A639F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8"/>
                <w:szCs w:val="28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8"/>
                <w:szCs w:val="28"/>
                <w:lang w:eastAsia="es-DO"/>
              </w:rPr>
              <w:t xml:space="preserve">Institución: 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sz w:val="28"/>
                <w:szCs w:val="28"/>
                <w:lang w:eastAsia="es-DO"/>
              </w:rPr>
              <w:t>Instituto Azucarero Dominicano</w:t>
            </w:r>
          </w:p>
        </w:tc>
      </w:tr>
      <w:tr w:rsidR="00EC436C" w:rsidRPr="006058AD" w:rsidTr="009375C3">
        <w:trPr>
          <w:trHeight w:val="1332"/>
          <w:jc w:val="center"/>
        </w:trPr>
        <w:tc>
          <w:tcPr>
            <w:tcW w:w="16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436C" w:rsidRPr="006058AD" w:rsidRDefault="00EC436C" w:rsidP="00A639F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8"/>
                <w:szCs w:val="28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8"/>
                <w:szCs w:val="28"/>
                <w:lang w:eastAsia="es-DO"/>
              </w:rPr>
              <w:t xml:space="preserve">Ejes Estratégicos: 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sz w:val="28"/>
                <w:szCs w:val="28"/>
                <w:lang w:eastAsia="es-DO"/>
              </w:rPr>
              <w:t>Eje Estratégico No. 3: Una economía territorial y sectorialmente integrada, innovadora, diversificada, plural, orientada a la calidad y ambientalmente sostenible, que crea y desconcentra la riqueza, genera crecimiento alto y sostenido con equidad y empleo digno, y que aprovecha y potencia las oportunidades del mercado local y se inserta de forma competitiva en la economía global.</w:t>
            </w:r>
          </w:p>
        </w:tc>
      </w:tr>
      <w:tr w:rsidR="009375C3" w:rsidRPr="006058AD" w:rsidTr="009375C3">
        <w:trPr>
          <w:trHeight w:val="708"/>
          <w:jc w:val="center"/>
        </w:trPr>
        <w:tc>
          <w:tcPr>
            <w:tcW w:w="16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436C" w:rsidRPr="006058AD" w:rsidRDefault="00EC436C" w:rsidP="00A639FA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8"/>
                <w:szCs w:val="28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sz w:val="28"/>
                <w:szCs w:val="28"/>
                <w:lang w:eastAsia="es-DO"/>
              </w:rPr>
              <w:t xml:space="preserve">Políticas Sectoriales Prioritarias a ejecutar en el 2024: 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sz w:val="28"/>
                <w:szCs w:val="28"/>
                <w:lang w:eastAsia="es-DO"/>
              </w:rPr>
              <w:t>La población rural y el desarrollo agropecuario.</w:t>
            </w:r>
          </w:p>
        </w:tc>
      </w:tr>
    </w:tbl>
    <w:p w:rsidR="00EC436C" w:rsidRDefault="00EC436C"/>
    <w:p w:rsidR="009375C3" w:rsidRDefault="006E2C93" w:rsidP="006E2C93">
      <w:pPr>
        <w:tabs>
          <w:tab w:val="left" w:pos="15840"/>
        </w:tabs>
      </w:pPr>
      <w:r>
        <w:tab/>
      </w:r>
    </w:p>
    <w:p w:rsidR="009375C3" w:rsidRDefault="009375C3"/>
    <w:p w:rsidR="009375C3" w:rsidRDefault="009375C3"/>
    <w:p w:rsidR="009375C3" w:rsidRDefault="009375C3"/>
    <w:tbl>
      <w:tblPr>
        <w:tblW w:w="1728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301"/>
        <w:gridCol w:w="1244"/>
        <w:gridCol w:w="1701"/>
        <w:gridCol w:w="1134"/>
        <w:gridCol w:w="1275"/>
        <w:gridCol w:w="1134"/>
        <w:gridCol w:w="1134"/>
        <w:gridCol w:w="902"/>
        <w:gridCol w:w="1107"/>
        <w:gridCol w:w="958"/>
        <w:gridCol w:w="861"/>
        <w:gridCol w:w="1832"/>
        <w:gridCol w:w="1701"/>
      </w:tblGrid>
      <w:tr w:rsidR="009375C3" w:rsidRPr="006058AD" w:rsidTr="009375C3">
        <w:trPr>
          <w:trHeight w:val="390"/>
          <w:tblHeader/>
          <w:jc w:val="center"/>
        </w:trPr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lastRenderedPageBreak/>
              <w:t xml:space="preserve">Producto 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Unidad de Medida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Indicador</w:t>
            </w:r>
          </w:p>
        </w:tc>
        <w:tc>
          <w:tcPr>
            <w:tcW w:w="55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Metas Programadas 2024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 xml:space="preserve">Beneficiarios  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 xml:space="preserve">Medios de Verificación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Resultados Esperados</w:t>
            </w:r>
          </w:p>
        </w:tc>
      </w:tr>
      <w:tr w:rsidR="009375C3" w:rsidRPr="006058AD" w:rsidTr="009375C3">
        <w:trPr>
          <w:trHeight w:val="435"/>
          <w:tblHeader/>
          <w:jc w:val="center"/>
        </w:trPr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1er.Trim.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2do.Trim.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3er.Trim.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4to.Trim.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Total MetaFísica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Hombres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Mujeres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Total Ben.</w:t>
            </w: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</w:tr>
      <w:tr w:rsidR="009375C3" w:rsidRPr="006058AD" w:rsidTr="009375C3">
        <w:trPr>
          <w:trHeight w:val="435"/>
          <w:tblHeader/>
          <w:jc w:val="center"/>
        </w:trPr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</w:tr>
      <w:tr w:rsidR="009375C3" w:rsidRPr="006058AD" w:rsidTr="009375C3">
        <w:trPr>
          <w:trHeight w:val="435"/>
          <w:tblHeader/>
          <w:jc w:val="center"/>
        </w:trPr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</w:tr>
      <w:tr w:rsidR="009375C3" w:rsidRPr="006058AD" w:rsidTr="009375C3">
        <w:trPr>
          <w:trHeight w:val="435"/>
          <w:tblHeader/>
          <w:jc w:val="center"/>
        </w:trPr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</w:p>
        </w:tc>
      </w:tr>
      <w:tr w:rsidR="009375C3" w:rsidRPr="006058AD" w:rsidTr="009375C3">
        <w:trPr>
          <w:trHeight w:val="624"/>
          <w:jc w:val="center"/>
        </w:trPr>
        <w:tc>
          <w:tcPr>
            <w:tcW w:w="1728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DEPARTAMENTO DE ESTUDIOS Y POLITICAS DE DIVERSIFICACION AZUCARERA</w:t>
            </w:r>
          </w:p>
        </w:tc>
      </w:tr>
      <w:tr w:rsidR="009375C3" w:rsidRPr="006058AD" w:rsidTr="009375C3">
        <w:trPr>
          <w:trHeight w:val="2788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Elaborar los acuerdos de desempeño de los servidores públicos del Departamento de Estudios y Políticas de Diversificación Azucarera, correspondientes al año 2024.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Acuerdos de desempeño elaborados.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Acuerdos de desempeño elaborado por cada servidor público del Departamento de Estudios y Políticas de Diversificación Azucarera (DEPDA).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del desempeño individual del DEPDA.</w:t>
            </w:r>
          </w:p>
        </w:tc>
      </w:tr>
      <w:tr w:rsidR="009375C3" w:rsidRPr="006058AD" w:rsidTr="009375C3">
        <w:trPr>
          <w:trHeight w:val="2991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Realizar las evaluaciones de desempeño de los servidores públicos del Departamento de Estudios y Políticas de Diversificación Azucarera, correspondientes al año 2023.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Evaluaciones de desempeño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Evaluación de desempeño elaborada por cada servidor público del DEPDA.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del desempeño individual del DEPDA.</w:t>
            </w:r>
          </w:p>
        </w:tc>
      </w:tr>
      <w:tr w:rsidR="009375C3" w:rsidRPr="006058AD" w:rsidTr="009375C3">
        <w:trPr>
          <w:trHeight w:val="197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Elaborar un perfil del sector azucarero dominicano, que recoja las principales informaciones relacionadas con el mismo.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Perfil del sector azucarero.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Perfil del sector azucarero dominicano elaborado.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Documento contentivo del perfil del sector azucarero dominicano.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INAZUCAR cumple con su rol de estudiar y analizar el sector azucarero dominicano.</w:t>
            </w:r>
          </w:p>
        </w:tc>
      </w:tr>
      <w:tr w:rsidR="009375C3" w:rsidRPr="006058AD" w:rsidTr="009375C3">
        <w:trPr>
          <w:trHeight w:val="2712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Gestionar las relaciones internacionales ante gobiernos extranjeros y organismos y conferencias internacionales que tengan relación directa o indirecta con la producción y mercado de azúcar,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Reuniones internacionales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de participación en reuniones y eventos internacionales.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Fortalecidas las relaciones internacionales de la República Dominicana en materia azucarera.</w:t>
            </w:r>
          </w:p>
        </w:tc>
      </w:tr>
      <w:tr w:rsidR="009375C3" w:rsidRPr="006058AD" w:rsidTr="009375C3">
        <w:trPr>
          <w:trHeight w:val="2259"/>
          <w:jc w:val="center"/>
        </w:trPr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Gestionar la asignación y el cumplimiento de las cuotas correspondientes al mercado preferencial de los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EE. UU.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otros mercados a la República Dominicana.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Nivel de Cumplimiento de las cuotas asignadas.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30%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45%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10%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95%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Certificados de Elegibilidad de Cuota (CQE por sus siglas en inglés) aprobados por la Embajada de los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EE. UU.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Creadas las condiciones políticas y administrativas para la exportación de azúcar y otros derivados de la caña.</w:t>
            </w:r>
          </w:p>
        </w:tc>
      </w:tr>
      <w:tr w:rsidR="009375C3" w:rsidRPr="006058AD" w:rsidTr="009375C3">
        <w:trPr>
          <w:trHeight w:val="1425"/>
          <w:jc w:val="center"/>
        </w:trPr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Autorizaciones de exportación expedidas por el Instituto.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</w:tr>
      <w:tr w:rsidR="009375C3" w:rsidRPr="006058AD" w:rsidTr="009375C3">
        <w:trPr>
          <w:trHeight w:val="196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Capacitar el personal técnico del INAZUCAR (DEPDA) en temas relacionados con de políticas azucareras.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Capacitaciones en las que participa al menos un integrante del equipo técnico del DEPDA.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                            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Certificados de participación en actividades de capacitación.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Fortalecidas las capacidades técnicas del INAZUCAR para ejercer sus atribuciones legales.</w:t>
            </w:r>
          </w:p>
        </w:tc>
      </w:tr>
      <w:tr w:rsidR="009375C3" w:rsidRPr="006058AD" w:rsidTr="009375C3">
        <w:trPr>
          <w:trHeight w:val="1212"/>
          <w:jc w:val="center"/>
        </w:trPr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Implementar el Programa de Supervisión de Zafra Azucarera 2023-2024.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Nivel de Implementación del Programa de Supervisión.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40%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40%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10%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 de ejecución del Programa de Supervisión de Zafra.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Garantizado el cumplimiento del Decreto Zafra 2023-2024.</w:t>
            </w:r>
          </w:p>
        </w:tc>
      </w:tr>
      <w:tr w:rsidR="009375C3" w:rsidRPr="006058AD" w:rsidTr="009375C3">
        <w:trPr>
          <w:trHeight w:val="3540"/>
          <w:jc w:val="center"/>
        </w:trPr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Fortalecidos los procesos de cumplimiento de las regulaciones del sector azucarero, especialmente los indicadores de producción y comercialización del azúcar y otros derivados de la caña.</w:t>
            </w:r>
          </w:p>
        </w:tc>
      </w:tr>
      <w:tr w:rsidR="009375C3" w:rsidRPr="006058AD" w:rsidTr="009375C3">
        <w:trPr>
          <w:trHeight w:val="2736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Poner en  funcionamiento la plataforma digital para el monitoreo del sector azucarero (Azúcar RD).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Funcionamiento Azúcar RD.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Plataforma Azúcar RD funcionamiento.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de funcionamiento de la Plataforma digital Azúcar RD.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Automatizados los procesos de monitoreo de los indicadores de producción, comercialización y regulación del azúcar y otros derivados de la caña.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Monitorear los indicadores del sector azucarero.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monitoreos del sector azucarero realizados.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de monitoreo del sector azucarero aprobados por el director ejecutivo y el encargado del DEPDA.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Vigilado el cumplimiento de las regulaciones del sector azucarero dominicano.</w:t>
            </w:r>
          </w:p>
        </w:tc>
      </w:tr>
      <w:tr w:rsidR="009375C3" w:rsidRPr="006058AD" w:rsidTr="009375C3">
        <w:trPr>
          <w:trHeight w:val="4308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Formular los reportes mensuales de la zafra.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reportes mensuales formulados.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Reportes mensuales aprobados por el Director Ejecutivo y el encargado del DEPDA.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Mejorado el procesamiento y tratamiento de la información producida por medio de los procesos de monitoreo de los indicadores de producción, comercialización y regulación del sector azucarero dominicano.</w:t>
            </w:r>
          </w:p>
        </w:tc>
      </w:tr>
      <w:tr w:rsidR="009375C3" w:rsidRPr="006058AD" w:rsidTr="009375C3">
        <w:trPr>
          <w:trHeight w:val="3996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Formular los boletines de la zafra 2023-2024.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Boletines de Zafra aprobados y publicados.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Boletines de zafra aprobados por el Director Ejecutivo y el encargado del DEPDA.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 xml:space="preserve"> Actas del Consejo.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Mejorado el procesamiento y tratamiento de la información producida por medio de los procesos de monitoreo de los indicadores de producción, comercialización y regulación del sector azucarero dominicano.</w:t>
            </w:r>
          </w:p>
        </w:tc>
      </w:tr>
      <w:tr w:rsidR="009375C3" w:rsidRPr="006058AD" w:rsidTr="009375C3">
        <w:trPr>
          <w:trHeight w:val="2664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Formular la propuesta de redistribución de cuotas, en caso de presentarse alguna variación en la ejecución de la programación de zafra.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Propuesta.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Propuesta de redistribución de cuotas remitidas a la Dirección Ejecutiva.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Propuesta de redistribución de cuotas firmada y sellada por el encargado del DEPDA y recibida por la Dirección Ejecutiva.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INAZUCAR cumple con las disposiciones legales relativas a la regulación de la producción y comercialización del azúcar y otros derivados de la caña.</w:t>
            </w:r>
          </w:p>
        </w:tc>
      </w:tr>
      <w:tr w:rsidR="009375C3" w:rsidRPr="006058AD" w:rsidTr="009375C3">
        <w:trPr>
          <w:trHeight w:val="264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Formular la propuesta para la aprobación de contingentes arancelarios, en caso de presentarse alguna variación en las proyecciones sobre producción azucarera.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Propuesta.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Propuesta para la aprobación de contingentes arancelarios remitida a la Dirección Ejecutiva.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Propuesta para la aprobación de contingentes arancelarios firmada y sellada por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el encargado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del DEPDA y recibida por la Dirección Ejecutiva.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INAZUCAR cumple con las disposiciones legales relativas a la regulación de la producción y comercialización del azúcar y otros derivados de la caña.</w:t>
            </w:r>
          </w:p>
        </w:tc>
      </w:tr>
      <w:tr w:rsidR="009375C3" w:rsidRPr="006058AD" w:rsidTr="009375C3">
        <w:trPr>
          <w:trHeight w:val="1221"/>
          <w:jc w:val="center"/>
        </w:trPr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Realizar los estudios que sirven de soporte a la propuesta de anteproyecto de 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Decreto Zafra 2024-2025.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Cantidad.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estudios realizados.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Análisis del comportamiento del sector azucarero en los 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últimos tres años.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INAZUCAR cumple con las disposiciones legales relativas a 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la regulación de la producción y comercialización del azúcar y otros derivados de la caña.</w:t>
            </w:r>
          </w:p>
        </w:tc>
      </w:tr>
      <w:tr w:rsidR="009375C3" w:rsidRPr="006058AD" w:rsidTr="009375C3">
        <w:trPr>
          <w:trHeight w:val="1344"/>
          <w:jc w:val="center"/>
        </w:trPr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Programación de zafra 2024-2025.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</w:tr>
      <w:tr w:rsidR="009375C3" w:rsidRPr="006058AD" w:rsidTr="009375C3">
        <w:trPr>
          <w:trHeight w:val="2664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Formular el análisis correspondiente a la revisión de precios de los diferentes azucares.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Análisis de revisión de precios 2024 formulado.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Análisis de revisión de precios 2023 firmado y sellado por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el encargado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del DEPDA y recibido por la Dirección Ejecutiva.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INAZUCAR cumple con las disposiciones legales relativas a la regulación de la producción y comercialización del azúcar y otros derivados de la caña.</w:t>
            </w:r>
          </w:p>
        </w:tc>
      </w:tr>
      <w:tr w:rsidR="009375C3" w:rsidRPr="006058AD" w:rsidTr="009375C3">
        <w:trPr>
          <w:trHeight w:val="1080"/>
          <w:jc w:val="center"/>
        </w:trPr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Autorizar las solicitudes de permisos de importación y exportación de azúcar.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Nivel de Respuesta oportuna a solicitudes de importación y 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exportación formuladas.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100%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Autorizaciones realizadas en la Ventanilla Única de Comercio Exterior (BUCE 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RD).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INAZUCAR cumple con las disposiciones legales relativas a la regulación de 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la producción y comercialización del azúcar y otros derivados de la caña.</w:t>
            </w:r>
          </w:p>
        </w:tc>
      </w:tr>
      <w:tr w:rsidR="009375C3" w:rsidRPr="006058AD" w:rsidTr="009375C3">
        <w:trPr>
          <w:trHeight w:val="900"/>
          <w:jc w:val="center"/>
        </w:trPr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Matriz de registro de permisos de importación.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</w:tr>
      <w:tr w:rsidR="009375C3" w:rsidRPr="006058AD" w:rsidTr="009375C3">
        <w:trPr>
          <w:trHeight w:val="852"/>
          <w:jc w:val="center"/>
        </w:trPr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Copia de permisos de importación expedidos.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</w:p>
        </w:tc>
      </w:tr>
      <w:tr w:rsidR="009375C3" w:rsidRPr="006058AD" w:rsidTr="009375C3">
        <w:trPr>
          <w:trHeight w:val="642"/>
          <w:jc w:val="center"/>
        </w:trPr>
        <w:tc>
          <w:tcPr>
            <w:tcW w:w="172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DIVISION DE RECURSOS HUMANO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Coordinar la elaboración de los acuerdos de desempeño de los servidores públicos de la Institución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acuerdos de desempeño elaborados.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Plantilla acuerdos de desempeño.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 elaboración de acuerdos de desempeño.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Coordinar la realización de las evaluaciones de desempeño de los servidores públicos de la Institución.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evaluaciones de desempeño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 de evaluaciones de desempeño.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% servidores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la Institución evaluados.</w:t>
            </w:r>
          </w:p>
        </w:tc>
      </w:tr>
      <w:tr w:rsidR="009375C3" w:rsidRPr="006058AD" w:rsidTr="009375C3">
        <w:trPr>
          <w:trHeight w:val="1848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Capacitar a los servidores en base al Plan de Mejora resultado de las evaluaciones, conforme lo establece la Ley de Función Pública 41-08.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 Cantidad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 de Servidores capacitados.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 de capacitaciones.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85% servidores capacitados.</w:t>
            </w:r>
          </w:p>
        </w:tc>
      </w:tr>
      <w:tr w:rsidR="009375C3" w:rsidRPr="006058AD" w:rsidTr="009375C3">
        <w:trPr>
          <w:trHeight w:val="2292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 Realizar celebraciones de reconocimiento e integración de los servidores, en coordinación con el equipo de festejo designado, y la unidad organizativa Sección de Comunicaciones.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 Número de actividades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Actividades realizadas.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 de actividades realizadas</w:t>
            </w:r>
          </w:p>
        </w:tc>
      </w:tr>
      <w:tr w:rsidR="009375C3" w:rsidRPr="006058AD" w:rsidTr="009375C3">
        <w:trPr>
          <w:trHeight w:val="2808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Elaborar Plan de Capacitación para dotar al personal de conocimientos inherentes a la caña de azúcar y sus derivados como fuente importante   para la industria alimentaria y la sostenibilidad del Medio Ambiente.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Plan de Capacitación.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Plan de Capacitación formulado.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 de capacitaciones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85% servidores capacitados.</w:t>
            </w:r>
          </w:p>
        </w:tc>
      </w:tr>
      <w:tr w:rsidR="009375C3" w:rsidRPr="006058AD" w:rsidTr="009375C3">
        <w:trPr>
          <w:trHeight w:val="1248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Elaborar (4) Nóminas de pagos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mensual a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los servidores.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nóminas pagadas.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F96516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Nóminas</w:t>
            </w:r>
            <w:r w:rsidR="009375C3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pagos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 nóminas pagadas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Elaborar los acuerdos de desempeño de los servidores públicos de la División de Recursos Humanos.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acuerdos de desempeño elaborados.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 de acuerdos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 elaboración de acuerdos de desempeño servidores de RRHH.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Realizar las evaluaciones de desempeño de los servidores públicos de la División de Recursos Humanos.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evaluaciones de desempeño elaboradas.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 de evaluaciones de desempeño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% servidores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RRHH evaluados.</w:t>
            </w:r>
          </w:p>
        </w:tc>
      </w:tr>
      <w:tr w:rsidR="009375C3" w:rsidRPr="006058AD" w:rsidTr="009375C3">
        <w:trPr>
          <w:trHeight w:val="642"/>
          <w:jc w:val="center"/>
        </w:trPr>
        <w:tc>
          <w:tcPr>
            <w:tcW w:w="172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DIVISION DE PLANIFICACION Y DESARROLLO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Elaborar los acuerdos de desempeño de los servidores públicos de la División de Planificación y Desarrollo.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acuerdos elaborados.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Acuerdos de desempeño elaborado por cada servidor público de la División de Planificación y Desarrollo.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del desempeño individual.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Realizar las evaluaciones de desempeño de los servidores públicos de la División de Planificación y Desarrollo.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evaluaciones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Evaluación de desempeño elaborado por cada servidor público de la División de Planificación y Desarrollo.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del desempeño individual.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Formular el POA 2024.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POA 2024.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POA 2024 aprobado.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Resolución de aprobación del POA 2024.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Fortalecidos los procesos de planificación institucional.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Formular Plan de Compras y Contrataciones (PACC) 2024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Plan de Compras y Contrataciones 2024.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Plan de Compras y Contrataciones 2024 aprobado.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Resolución de aprobación del PACC 2024.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Fortalecidos los procesos de planificación institucional y compras y contrataciones.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Formular Presupuesto 2024.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Presupuesto 2024.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Presupuesto 2024 aprobado.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Resolución de aprobación del presupuesto 2024.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Fortalecidos los procesos de planificación institucional y presupuestación.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Dirigir los procesos de seguimiento y evaluación al POA 2024.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actividades de seguimiento y evaluación ejecutadas.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 trimestral de ejecución del POA 2024.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Informe semestral de gestión.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Memoria anual 2024.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Fortalecidos los procesos de ejecución técnica y rendición de cuentas a nivel interno.</w:t>
            </w:r>
          </w:p>
        </w:tc>
      </w:tr>
      <w:tr w:rsidR="009375C3" w:rsidRPr="006058AD" w:rsidTr="009375C3">
        <w:trPr>
          <w:trHeight w:val="2184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Dirigir los procesos de seguimiento al PACC 2024.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actividades de seguimiento y evaluación.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 mensual de compras y contrataciones.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Informe semestral de gestión.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Memoria anual 2024.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Fortalecidos los procesos de ejecución técnica, compras y contrataciones y rendición de cuentas a nivel interno.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Dirigir los procesos de seguimiento a la ejecución presupuestaria 2024.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acciones de seguimiento.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 trimestral de ejecución presupuestaria.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Informe semestral de gestión.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Memoria anual 2024.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Fortalecidos los procesos de ejecución presupuestaria.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Formular políticas y procedimientos institucionales.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procedimientos aprobados.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Procedimientos aprobados.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Fortalecida la gestión de los procesos institucionales.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Formular matriz de valoración y administración de Riesgos (VAR).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Matriz VAR.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Matriz VAR aprobada.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Resolución de aprobación de la matriz VAR.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 riesgo a asociada a la planificación y ejecución de los procesos.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Dirigir los procesos de seguimiento y evaluación de la VAR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acciones de seguimiento y evaluación.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 trimestral de monitoreo de la VAR.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 riesgo a asociada a la planificación y ejecución de los procesos.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Dirigir los procesos de seguimiento a los Indicadores de Gestión. 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Resultados obtenidos en los indicadores de gestión de forma individualizada.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 de medición del SIGOB: SISMAP, ITICGE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NOBACI, LEY 200-04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Contrataciones, Transparencia, SISANOC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IGP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Mejorado el desempeño de la Institución en los indicadores de gestión.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Formular informes trimestrales del POA 2024.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informes trimestrales publicados.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Portal de transparencia institucional.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Fortalecidos los procesos de rendición de cuentas.</w:t>
            </w:r>
          </w:p>
        </w:tc>
      </w:tr>
      <w:tr w:rsidR="009375C3" w:rsidRPr="006058AD" w:rsidTr="009375C3">
        <w:trPr>
          <w:trHeight w:val="192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Dirigir los procesos de formulación de Informe y Rendición de Cuentas de la Institución.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informes formulados.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trimestrales de ejecución del POA 2023.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Informes trimestrales de ejecución presupuestaria.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Informe mensual de gestión.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Memoria anual.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Fortalecidos los procesos de rendición de cuentas.</w:t>
            </w:r>
          </w:p>
        </w:tc>
      </w:tr>
      <w:tr w:rsidR="009375C3" w:rsidRPr="006058AD" w:rsidTr="009375C3">
        <w:trPr>
          <w:trHeight w:val="642"/>
          <w:jc w:val="center"/>
        </w:trPr>
        <w:tc>
          <w:tcPr>
            <w:tcW w:w="172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lastRenderedPageBreak/>
              <w:t>DIVISION ADMINISTRATIVA / FINANCIERA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Elaborar los acuerdos de desempeño de los servidores públicos de la División Administrativa Financiera.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acuerdos de desempeño individual elaborados.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Acuerdos de desempeño.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del desempeño individual.</w:t>
            </w:r>
          </w:p>
        </w:tc>
      </w:tr>
      <w:tr w:rsidR="009375C3" w:rsidRPr="006058AD" w:rsidTr="009375C3">
        <w:trPr>
          <w:trHeight w:val="2352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Monitorear la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ejecución de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los acuerdos de desempeño de los servidores públicos de la división Administrativa-Financiera.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monitoreos de acuerdo de desempeño de los servidores públicos de la División Administrativa-Financiera realizados.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 de monitoreos de la ejecución de los acuerdos de desempeño elaborado por cada servidor público de la División Administrativa-Financiera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Asegurar la ejecución de los acuerdos de desempeño de los servidores de la División Administrativa-Financiera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Realizar las evaluaciones de desempeño de los servidores públicos de la división Administrativa-Financiera.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evaluaciones de desempeño realizadas en la División Administrativa-Financiera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de evaluación de desempeño de la División Administrativa-Financiera.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Mejorada la gestión del desempeño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individual.</w:t>
            </w:r>
          </w:p>
        </w:tc>
      </w:tr>
      <w:tr w:rsidR="009375C3" w:rsidRPr="006058AD" w:rsidTr="009375C3">
        <w:trPr>
          <w:trHeight w:val="2064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Controlar las operaciones emanadas de las secciones dependientes de la División Administrativa-Financiera.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Proporción de procedimientos controlados.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Expedientes con controles aplicados en los procesos administrativos y financieros.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Garantizada la eficacia, eficiencia y transparencia de las operaciones administrativas y financieras.</w:t>
            </w:r>
          </w:p>
        </w:tc>
      </w:tr>
      <w:tr w:rsidR="009375C3" w:rsidRPr="006058AD" w:rsidTr="009375C3">
        <w:trPr>
          <w:trHeight w:val="2124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Formular informes de ingresos y gastos mensualmente.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informes realizados.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de ingresos y gastos aprobados y publicados.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Aplicadas las disposiciones legales y administrativas relativas a la transparencia y rendición de cuentas en materia financiera. </w:t>
            </w:r>
          </w:p>
        </w:tc>
      </w:tr>
      <w:tr w:rsidR="009375C3" w:rsidRPr="006058AD" w:rsidTr="009375C3">
        <w:trPr>
          <w:trHeight w:val="210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Formular informes de ejecución física financiera para publicar en el Portal de Transparencia Institucional.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Cantidad.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Número de Informes físico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financiero-formulados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.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aprobados y publicados en el Portal de Transparencia Institucional.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Aplicadas las disposiciones legales y administrativas relativas a la transparencia y rendición de cuentas en materia financiera.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Garantizar una adecuada ejecución presupuestaria.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Proporción de partidas presupuestarias ejecutadas conforme lo programado.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de ejecución presupuestaria.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Presupuesto de INAZUCAR ejecutado con eficiencia y calidad.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Autorizar los pagos de los compromisos financieros conforme a las normas vigentes.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Proporción de pagos autorizados.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 de ingresos y gastos.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Presupuesto de INAZUCAR ejecutado con eficiencia y calidad.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Canalizar la efectividad de entrada de los ingresos provenientes de las diferentes fuente de financiamiento de la institución.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 Ingresos percibidos por la Institución durante el periodo.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de ingresos a las cuentas de INAZUCAR.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INAZUCAR cuenta con los ingresos necesarios para llevar a cabo sus operaciones.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Controlar la ejecución de la asignación mensual de combustible.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Entrega de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tiques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combustible en RD$.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Lista de recepción de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tiques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combustibles.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Garantizada la entrega de combustible a colaboradores conforme a los criterios establecidos.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Aprobar los informes contables y ejecuciones presupuestarias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Cantidad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Informes aprobados.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contables y ejecuciones presupuestarias aprobados</w:t>
            </w:r>
            <w:r w:rsidR="00F96516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Cumplimiento de las normas financieras</w:t>
            </w:r>
            <w:r w:rsidR="00F96516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Controlar las operaciones de caja chica y gastos menores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revisiones de las operaciones de caja chica.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 mensual de cuadre de caja chica.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Garantizada la eficiencia y transparencia en el manejo de los fondos de caja chica.</w:t>
            </w:r>
          </w:p>
        </w:tc>
      </w:tr>
      <w:tr w:rsidR="009375C3" w:rsidRPr="006058AD" w:rsidTr="009375C3">
        <w:trPr>
          <w:trHeight w:val="642"/>
          <w:jc w:val="center"/>
        </w:trPr>
        <w:tc>
          <w:tcPr>
            <w:tcW w:w="1728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SECCION DE JURÍDICA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Elaborar los acuerdos de desempeño de los servidores públicos de la Sección de Jurídica.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acuerdos elaborados.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Acuerdos de desempeño elaborados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 en la gestión del desempeño</w:t>
            </w:r>
            <w:r w:rsidR="00F96516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Realizar las evaluaciones de desempeño de los servidores públicos de la Sección de Jurídica.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evaluaciones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 de la ejecución de las evaluaciones de desempeño.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Resultados de mejora en el desempeño evaluado. 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Estandarizar los procesos que se realizan a través de la Sección Jurídica del Comité de Compas y Contrataciones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 de procesos estandarizados.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Archivo y documentación estandarizados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Unificación de metodología en documentos de INAZUCAR.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Elaborar broschure que contengan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información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legal institucional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 de brochure elaborados.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Documentación física y archivo en brochure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acceso a la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información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legal de la institución.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Elaborar un control sobre el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seguimiento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la plataforma de contratos.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 de control a seguimiento de plataforma de contrato.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Control de seguimiento a plataforma de contratos.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Plataforma de contratos controlada.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Elaborar formularios sobre la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asesoría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que se le proporciona a cada unidad organizativa de la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Institución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Porcentaje de formularios de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asesoría elaborados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Formularios elaborado de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asesoría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brindada.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Documentar en formularios las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asesorías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proporcionadas.</w:t>
            </w:r>
          </w:p>
        </w:tc>
      </w:tr>
      <w:tr w:rsidR="009375C3" w:rsidRPr="006058AD" w:rsidTr="009375C3">
        <w:trPr>
          <w:trHeight w:val="642"/>
          <w:jc w:val="center"/>
        </w:trPr>
        <w:tc>
          <w:tcPr>
            <w:tcW w:w="172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SECCION DE LA TECNOLOGIA DE INFORMACIÓN Y COMUNICACIONES</w:t>
            </w:r>
          </w:p>
        </w:tc>
      </w:tr>
      <w:tr w:rsidR="009375C3" w:rsidRPr="006058AD" w:rsidTr="009375C3">
        <w:trPr>
          <w:trHeight w:val="1908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Elaborar los acuerdos de desempeño de los servidores públicos de la Sección de Tecnología de la Información y Comunicaciones.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acuerdos elaborados.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Acuerdos de desempeño elaborado por cada servidor público de la Sección de Tecnología de la Información y Comunicaciones.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del desempeño individual.</w:t>
            </w:r>
          </w:p>
        </w:tc>
      </w:tr>
      <w:tr w:rsidR="009375C3" w:rsidRPr="006058AD" w:rsidTr="009375C3">
        <w:trPr>
          <w:trHeight w:val="1872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Realizar las evaluaciones de desempeño de los servidores públicos de la Sección de Tecnología de la Información y Comunicaciones.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evaluaciones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Evaluación de desempeño elaborado por cada servidor público de la sección de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Tecnología de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la Información y Comunicaciones.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del desempeño individual.</w:t>
            </w:r>
          </w:p>
        </w:tc>
      </w:tr>
      <w:tr w:rsidR="009375C3" w:rsidRPr="006058AD" w:rsidTr="009375C3">
        <w:trPr>
          <w:trHeight w:val="1788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Automatizar la gestión de los procesos institucionales.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Indicador iTICge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Resultados generales obtenidos en iTICge.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 sobre Índice de uso de TIC, implementación de gobierno electrónico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Aumentado el Índice de Uso de TIC e Implementación de Gobierno Electrónico (iTICge)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Actualización de plugings de la INTRANET institucional.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INTRANET.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Sistemas de la INTRANET en estado operativo.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INTRANET operativa.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Mantener los niveles de eficiencia en los procesos internos.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Actualización sistema para gestión y control de almacén.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Sistema de gestión y control de almacén.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Sistema de gestión y control de almacén funcionando.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Sistema de Gestión y Control de Almacén.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Mejorada la gestión y control de los procesos de almacén. </w:t>
            </w:r>
          </w:p>
        </w:tc>
      </w:tr>
      <w:tr w:rsidR="009375C3" w:rsidRPr="006058AD" w:rsidTr="009375C3">
        <w:trPr>
          <w:trHeight w:val="228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Desarrollar las políticas y procedimientos de restricción de acceso a documentos.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Políticas y procedimientos de restricción de acceso a documentos.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Políticas y procedimientos de restricción de acceso a documentos creadas.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Políticas y Procedimientos de Restricción de Acceso aprobado.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Establecer las políticas y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procedimientos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para evitar la destrucción, modificación o mal uso de los documentos, archivos y activos informáticos.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Desarrollar de Plan de Seguridad Física y Tecnológica.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 Nivel de ejecución del Plan de Seguridad Física y tecnológica.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Plan de Seguridad Física y Tecnológica aprobado.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Mejorar el nivel de seguridad física y tecnológica de los activos de tecnología de Información.</w:t>
            </w:r>
          </w:p>
        </w:tc>
      </w:tr>
      <w:tr w:rsidR="009375C3" w:rsidRPr="006058AD" w:rsidTr="009375C3">
        <w:trPr>
          <w:trHeight w:val="2304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Creación de políticas y procedimientos de revisión periódica de los privilegios y controles de accesos a los sistemas de TI.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Políticas y procedimientos de revisión periódica de los privilegios y controles de accesos a los sistemas de TI elaborados.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Políticas y Procedimientos de Revisión Periódica de los Privilegios y Controles de Accesos a los Sistemas de TI aprobados.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Determinar si los privilegios y accesos de control de TI son apropiados, así como supervisas la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ejecución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dichas políticas.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Actualización de las licencias del sistema antivirus PC.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computadoras protegidas.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Actualización implementada.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Dotar de protección adecuada a los equipos computacionales y contar con las funcionalidades de control y gestión de seguridad.</w:t>
            </w:r>
          </w:p>
        </w:tc>
      </w:tr>
      <w:tr w:rsidR="009375C3" w:rsidRPr="006058AD" w:rsidTr="009375C3">
        <w:trPr>
          <w:trHeight w:val="642"/>
          <w:jc w:val="center"/>
        </w:trPr>
        <w:tc>
          <w:tcPr>
            <w:tcW w:w="172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SECCION DE COMUNICACIONES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Elaborar los acuerdos de desempeño de los servidores públicos de la Sección de Comunicación.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acuerdos elaborados.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Acuerdos de desempeño elaborado por cada servidor público de la Sección de Tecnología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de Comunicaciones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del desempeño individual.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Realizar las evaluaciones de desempeño de los servidores públicos de la Sección de Comunicación.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evaluaciones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Evaluación de desempeño elaborado por cada servidor público de la sección de Comunicación.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del desempeño individual.</w:t>
            </w:r>
          </w:p>
        </w:tc>
      </w:tr>
      <w:tr w:rsidR="009375C3" w:rsidRPr="006058AD" w:rsidTr="009375C3">
        <w:trPr>
          <w:trHeight w:val="1848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Coordinar la campaña del 58 aniversario de INAZUCAR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Porcentaje.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Nivel de implementación de la campaña por el 58 aniversario de INAZUCAR.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 de medios de comunicación.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Reporte de redes sociales.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Informe de ejecución de la Campaña.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Mejorado el posicionamiento público del INAZUCAR. </w:t>
            </w:r>
          </w:p>
        </w:tc>
      </w:tr>
      <w:tr w:rsidR="009375C3" w:rsidRPr="006058AD" w:rsidTr="009375C3">
        <w:trPr>
          <w:trHeight w:val="1848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Gestionar artes para observatorio de la caña y centro de documentación ¨biblioteca¨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Nivel de respuesta a requerimientos de artes gestionados y diseñados para observatorio de caña y biblioteca.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Diseños y artes para observatorio de caña y centro de documentación ¨biblioteca¨.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Fortalecida la imagen institucional.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Brindar soporte a la realización de actividades institucionales.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Cantidad.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Nivel de respuesta a requerimiento de soporte.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Requerimientos de actividades.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Informe de actividades.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Mejorado el montaje y organización de las actividades institucionales.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Gestionar página web en conjunto con la Sección de TIC.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Página web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actualizaciones realizadas a la página web.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Reportes de actualización de la página web.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Página web.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Fortalecida la imagen y el posicionamiento institucional.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Rediseñar la página web de la institución, en coordinación con la Sección de TIC.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Página web.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Página web rediseñada.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 de rediseño de la página web.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Página web.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Fortalecida la imagen y el posicionamiento institucional.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Gestionar las relaciones públicas de la institución.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acciones de relaciones públicas ejecutadas.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Notas de prensa redactadas.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 xml:space="preserve">Publicaciones en medios digitales propios y de otras instituciones.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Fortalecida la imagen y el posicionamiento institucional.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Gestionar las redes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sociales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institucionales por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seguidores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Cantidad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seguidores consolidados en las cuentas de redes sociales de la institución.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Reportes estadísticos de redes sociales.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Fortalecida la imagen y el posicionamiento institucional. Con seguidores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orgánicos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.</w:t>
            </w:r>
          </w:p>
        </w:tc>
      </w:tr>
      <w:tr w:rsidR="009375C3" w:rsidRPr="006058AD" w:rsidTr="009375C3">
        <w:trPr>
          <w:trHeight w:val="2268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Gestionar las redes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sociales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institucionales por publicaciones diarias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redes sociales en las que INAZUCAR tiene una cuenta verificada con al menos una publicación diaria.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val="en-US"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val="en-US" w:eastAsia="es-DO"/>
              </w:rPr>
              <w:t xml:space="preserve">Redes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val="en-US" w:eastAsia="es-DO"/>
              </w:rPr>
              <w:t>Socials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val="en-US" w:eastAsia="es-DO"/>
              </w:rPr>
              <w:t xml:space="preserve"> (Instagram, Facebook, Twitter y YouTube)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Fortalecida la imagen y el posicionamiento institucional. Con seguidores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orgánicos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.</w:t>
            </w:r>
          </w:p>
        </w:tc>
      </w:tr>
      <w:tr w:rsidR="009375C3" w:rsidRPr="006058AD" w:rsidTr="009375C3">
        <w:trPr>
          <w:trHeight w:val="2412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Gestionar la publicidad institucional para dar a conocer el rol del instituto.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Número de materiales publicitarios publicados en medios de comunicación y redes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sociales. Campaña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conoce a INAZUCAR.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 de medios de comunicación.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Reporte de Redes Sociales (Instagram, Facebook, Twitter y YouTube)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Fortalecida la imagen y el posicionamiento institucional.</w:t>
            </w:r>
          </w:p>
        </w:tc>
      </w:tr>
      <w:tr w:rsidR="009375C3" w:rsidRPr="006058AD" w:rsidTr="009375C3">
        <w:trPr>
          <w:trHeight w:val="1932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Gestionar los canales internos de comunicación institucional.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canales internos de comunicación gestionados semanalmente.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Síntesis informativas editadas y difundidas.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Fotos del Mural Informativo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Boletín Trimestral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Mejorar la comunicación interna de la Institución.</w:t>
            </w:r>
          </w:p>
        </w:tc>
      </w:tr>
      <w:tr w:rsidR="009375C3" w:rsidRPr="006058AD" w:rsidTr="009375C3">
        <w:trPr>
          <w:trHeight w:val="642"/>
          <w:jc w:val="center"/>
        </w:trPr>
        <w:tc>
          <w:tcPr>
            <w:tcW w:w="172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SECCION DE CONTABILIDAD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Elaborar los acuerdos de desempeño de los servidores públicos de la Sección de Contabilidad.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Número de acuerdos de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desempeño elaborados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en la sección de Contabilidad.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Acuerdos de desempeño elaborado por cada servidor público de la Sección de Contabilidad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del desempeño individual.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Realizar las evaluaciones de desempeño de los servidores públicos de la sección de Contabilidad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Número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de evaluaciones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realizadas en la sección de Contabilidad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de evaluación de desempeño de la Sección de Contabilidad.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del desempeño individual.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Actualizar el inventario de bienes muebles e inmuebles de la institución.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actualizaciones del inventario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 del Sistema de Administración de Bienes (SIAB).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 los bienes muebles e inmuebles de la Institución.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Realizar conciliaciones de activos fijos de la institución.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conciliaciones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informes de conciliaciones de activos fijos de la Institución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Lograr un mayor control de los activos fijos de la Institución.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Descargar los bienes inservibles del Inventario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descargos realizados.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de descargos de bienes.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Reporte del Sistema de Administración de Bienes (SIAB).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Lograr un mayor control de los bienes servibles de la Institución.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Ejecutar los pagos de cuentas por pagar a suplidores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Proporción de pagos ejecutados.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Conciliaciones bancarias.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Cancelados los compromisos financieros asumidos por la Institución de manera eficiente.</w:t>
            </w:r>
          </w:p>
        </w:tc>
      </w:tr>
      <w:tr w:rsidR="009375C3" w:rsidRPr="006058AD" w:rsidTr="009375C3">
        <w:trPr>
          <w:trHeight w:val="1896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Realizar las cuentas por cobrar a los productores de los ingenios de la caña.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 Proporción de ingresos percibidos por la Institución durante el periodo, con relación a lo programado.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de ingresos a las cuentas de INAZUCAR.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INAZUCAR cuenta con los ingresos necesarios para llevar a cabo sus operaciones.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Realizar conciliaciones bancarias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conciliaciones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Conciliaciones bancarias aprobadas.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Aplicadas las normas contables relativas a las conciliaciones bancarias.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Realizar informes de ingresos, egresos.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informes realizados.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 de ingresos y gastos aprobados.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Aplicadas las disposiciones legales y administrativas relativas a la transparencia y rendición de cuentas.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Monitoreo de desembolso de caja chica.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reportes de caja chica.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Reporte mensual de cuadre de caja chica.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Garantizada la eficiencia y transparencia en el manejo de caja chica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Formular los informes de estados financieros.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 Número de informes de estados financieras formulados.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Estados financieros aprobados.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INAZUCAR dispone de informaciones objetivas y confiables sobre sus finanzas.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 xml:space="preserve">Aplicadas las disposiciones legales y administrativas 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relativas a la transparencia y rendición de cuentas.</w:t>
            </w:r>
          </w:p>
        </w:tc>
      </w:tr>
      <w:tr w:rsidR="009375C3" w:rsidRPr="006058AD" w:rsidTr="009375C3">
        <w:trPr>
          <w:trHeight w:val="642"/>
          <w:jc w:val="center"/>
        </w:trPr>
        <w:tc>
          <w:tcPr>
            <w:tcW w:w="172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lastRenderedPageBreak/>
              <w:t>SECCION DE COMPRAS Y CONTRATACIONES</w:t>
            </w:r>
          </w:p>
        </w:tc>
      </w:tr>
      <w:tr w:rsidR="009375C3" w:rsidRPr="006058AD" w:rsidTr="009375C3">
        <w:trPr>
          <w:trHeight w:val="3072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Elaborar los acuerdos de desempeño de los servidores públicos de la sección de Compras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Número de acuerdos de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desempeño elaborados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Acuerdos de desempeño elaborado por cada servidor público de la Sección de Compras.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Mayores compromisos en el desempeño de funciones de los servidores públicos de la sección de Compras, asegurando el logro de los objetivos de la sección de Compras.</w:t>
            </w:r>
          </w:p>
        </w:tc>
      </w:tr>
      <w:tr w:rsidR="009375C3" w:rsidRPr="006058AD" w:rsidTr="009375C3">
        <w:trPr>
          <w:trHeight w:val="2316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Realizar las evaluaciones de desempeño de los servidores públicos de la sección de Compras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evaluaciones de desempeño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Evaluación de desempeño elaborado por cada servidor público de la sección de Compras.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Minimizadas las deficiencias, logrando mayor satisfacción en labor de los servidores públicos de sección de Compras.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Formular el PACC 2025 en coordinación con la División de Planificación y Desarrollo.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PACC 2025.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PACC 2025 formulado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PACC formulado y enviado al Ministerio de Agricultura.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Se dispone de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pronósticos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objetivo y, procedimientos para la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realización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las compras de la Institución.  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Cumplir con el porcentaje de las compras a las MIPYMES.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Proporción de compras realizadas a MIPYMES.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0.1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PACC formulado y enviado al Ministerio de Agricultura.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INAZUCAR cumple con las disposiciones reglamentarias en la materia.</w:t>
            </w:r>
          </w:p>
        </w:tc>
      </w:tr>
      <w:tr w:rsidR="009375C3" w:rsidRPr="006058AD" w:rsidTr="009375C3">
        <w:trPr>
          <w:trHeight w:val="189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Gestionar los procesos de compras y contrataciones en las fechas establecidas.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Niveles de procesos de compras y contrataciones gestionados conforme al PACC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Procesos de Compras realizados y aprobados.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La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planificación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, ejecución de las compras, acorde con las necesidades de la Institución.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Elaborar mensualmente el listado de las compras realizadas para ser entregadas a la OAI.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Número de listados de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compras entregados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a la OAI.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Listado de Compras realizadas mensualmente entregadas a la OAI.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Tener a disposición de la Oficina de Libre Información las compras de la Institución.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Elaborar informes semestrales de gestión de la Sección de Compras para ser entregados a la Div</w:t>
            </w:r>
            <w:r w:rsidR="00200B7E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isión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Administrativa y Financiera.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Cantidad.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 Número de informes entregados.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Informes de la sección de Compras aprobados.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Disponer de los informes de lo ejecutado en la sección de Compras.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Ejecutar el PACC 2024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de acuerdo con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las requisiciones de compras.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 Nivel de ejecución del PACC 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Compras ejecutadas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de acuerdo con el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Plan de Compras.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Compras realizadas acorde con las necesidades de la Institución.</w:t>
            </w:r>
          </w:p>
        </w:tc>
      </w:tr>
      <w:tr w:rsidR="009375C3" w:rsidRPr="006058AD" w:rsidTr="009375C3">
        <w:trPr>
          <w:trHeight w:val="642"/>
          <w:jc w:val="center"/>
        </w:trPr>
        <w:tc>
          <w:tcPr>
            <w:tcW w:w="172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SECCION DE SERVICIOS GENERALES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Elaborar los acuerdos de desempeño de los servidores públicos de la Sección Servicios Generales.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acuerdos de desempeño elaborados.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Acuerdos de desempeño elaborado por cada servidor público de la Sección de Servicios Generales.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del desempeño individual.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Realizar las evaluaciones de desempeño de los servidores públicos de la Sección Servicios Generales.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evaluaciones de desempeño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Informe de Evaluación de desempeño individual.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Mejorada la gestión del desempeño individual.</w:t>
            </w:r>
          </w:p>
        </w:tc>
      </w:tr>
      <w:tr w:rsidR="009375C3" w:rsidRPr="006058AD" w:rsidTr="009375C3">
        <w:trPr>
          <w:trHeight w:val="1956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Ejecutar un plan de mantenimiento de los bienes tangibles de la institución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Nivel de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implementación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del plan de mantenimiento.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Plan de mantenimiento, informe de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ejecución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plan de mantenimiento, reporte de verificación de bienes muebles e inmuebles.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Garantizado el buen estado de los bienes tangibles de INAZUCAR.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Dar respuesta a los requerimientos de servicios de las diferentes unidades organizativas.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Nivel de respuesta a requerimientos de servicios.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Formularios de requerimiento y respuesta de servicios completados.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Apoyadas las operaciones de las diferentes unidades organizativas.</w:t>
            </w:r>
          </w:p>
        </w:tc>
      </w:tr>
      <w:tr w:rsidR="009375C3" w:rsidRPr="006058AD" w:rsidTr="009375C3">
        <w:trPr>
          <w:trHeight w:val="3660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Facilitar el suministro de bienes de consumo a las diferentes </w:t>
            </w:r>
            <w:r w:rsidR="00F96516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unidades organizativas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Niveles de respuestas a las necesidades de bienes de consumo a las unidades organizativas.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25%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Formulario de verificación de existencia de bienes de consumo recurrente, formulario de requisición de compras de bienes completados, matriz de registro de entrada y salida de bienes de consumo, formulario de requisición y entrega de bienes no recurrente.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Garantizada la existencia de bienes de consumo en las operaciones de las deferentes unidades organizativas.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Facilitar el servicio de almuerzo que se sirve diariamente a los servidores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públicos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la institución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personas que reciben servicio de almuerzo diariamente.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200B7E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Menú</w:t>
            </w:r>
            <w:r w:rsidR="009375C3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diario.                        lista de verificación de almuerzo.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Atendidas las necesidades de almuerzo diario de la institución.</w:t>
            </w:r>
          </w:p>
        </w:tc>
      </w:tr>
      <w:tr w:rsidR="009375C3" w:rsidRPr="006058AD" w:rsidTr="009375C3">
        <w:trPr>
          <w:trHeight w:val="2652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Gestionar la adquisición de materiales, equipos ferreteros, eléctricos,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plomería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,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pinturas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y sus derivados.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Número de solicitudes de compras de equipos ferreteros, eléctricos,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plomería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,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pinturas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y sus derivados formuladas a la Sección de Compras y Contrataciones.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Inventario.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Solicitudes de Compras.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Dotada a la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Institución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materiales para casos de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averías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. 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Gestionar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la fumigación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la edificación de la Institución.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Respuesta de servicio ofrecido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1%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4%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Solicitud de contratación.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 xml:space="preserve">Acta de entrega de servicio.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40C28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40C28"/>
                <w:kern w:val="0"/>
                <w:lang w:eastAsia="es-DO"/>
              </w:rPr>
              <w:t>Eliminado cualquier insecto o fauna nociva de las áreas de la Institución</w:t>
            </w:r>
            <w:r w:rsidRPr="006058AD">
              <w:rPr>
                <w:rFonts w:ascii="Gill Sans MT" w:eastAsia="Times New Roman" w:hAnsi="Gill Sans MT" w:cs="Calibri"/>
                <w:color w:val="333333"/>
                <w:kern w:val="0"/>
                <w:lang w:eastAsia="es-DO"/>
              </w:rPr>
              <w:t>.</w:t>
            </w:r>
          </w:p>
        </w:tc>
      </w:tr>
      <w:tr w:rsidR="009375C3" w:rsidRPr="006058AD" w:rsidTr="009375C3">
        <w:trPr>
          <w:trHeight w:val="2028"/>
          <w:jc w:val="center"/>
        </w:trPr>
        <w:tc>
          <w:tcPr>
            <w:tcW w:w="2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Gestionar la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adquisición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materiales de materiales de oficina.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Nivel de respuesta a requerimientos de servicios.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Inventario.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Solicitudes de servicio.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Acta de recepción de bienes.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 xml:space="preserve">Formulario de solicitud y entrega de material gastable.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Dotada a la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institución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materiales para un mejor manejo en las oficinas. </w:t>
            </w:r>
          </w:p>
        </w:tc>
      </w:tr>
      <w:tr w:rsidR="009375C3" w:rsidRPr="006058AD" w:rsidTr="009375C3">
        <w:trPr>
          <w:trHeight w:val="2244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Gestionar el mantenimiento y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reparación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equipos de transporte.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Nivel de respuesta a requerimientos de servicios.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Solicitudes de compras.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Acta de recepción de bienes.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Formulario de solicitudes de equipos.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Formulario de entrega de equipos.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Garantizado el buen estado de los equipos de transporte del INAZUCAR.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 xml:space="preserve">Gestionar la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adquisición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equipos de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climatización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.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Nivel de respuesta a requerimientos.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66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Solicitudes de compras.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Acta de recepción de bienes.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Formulario de solicitudes de equipos.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br/>
              <w:t>Formulario de entrega de equipos.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Dotar a la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institución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de equipos de </w:t>
            </w:r>
            <w:r w:rsidR="00200B7E"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climatización</w:t>
            </w: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. </w:t>
            </w:r>
          </w:p>
        </w:tc>
      </w:tr>
      <w:tr w:rsidR="009375C3" w:rsidRPr="006058AD" w:rsidTr="009375C3">
        <w:trPr>
          <w:trHeight w:val="642"/>
          <w:jc w:val="center"/>
        </w:trPr>
        <w:tc>
          <w:tcPr>
            <w:tcW w:w="1728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b/>
                <w:bCs/>
                <w:color w:val="000000"/>
                <w:kern w:val="0"/>
                <w:lang w:eastAsia="es-DO"/>
              </w:rPr>
              <w:t>OFICINA DE ACCESO A LA INFORMACIÓN (OAI)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Responder oportunamente las solicitudes de información de los ciudadanos, conforme lo dispone el marco legal.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Nivel de respuesta a las solicitudes de información.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Índice de Transparencia Estandarizado.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Mejorado el acceso a la información de los ciudadanos, en el marco de la Ley No. 200-04.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Actualizar oportunamente el Portal de Transparencia Institucional, conforme lo dispone el marco legal.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Número de actualizaciones realizadas.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Índice de Transparencia Estandarizado.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Aumentados los niveles de transparencia institucional del INAZUCAR.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Responder oportunamente denuncias, quejas y sugerencias de los ciudadanos, en el marco del sistema 311.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Nivel de respuesta a las denuncias, quejas y sugerencias de los ciudadanos.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Índice de Transparencia Estandarizado.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INAZUCAR cumple con las disposiciones legales y administrativas sobre gobierno abierto.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Actualizar el portal de datos abiertos.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Cantidad.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 Número de actualizaciones.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Índice de Transparencia Estandarizado.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INAZUCAR cumple con las disposiciones legales y administrativas sobre gobierno abierto.</w:t>
            </w:r>
          </w:p>
        </w:tc>
      </w:tr>
      <w:tr w:rsidR="009375C3" w:rsidRPr="006058AD" w:rsidTr="009375C3">
        <w:trPr>
          <w:trHeight w:val="1749"/>
          <w:jc w:val="center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lastRenderedPageBreak/>
              <w:t>Monitorear del correo institucional.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Porcentaje.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 Nivel de respuesta y/o derivación de correos recibidos.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100%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N/A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 xml:space="preserve">Correo Institucional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5C3" w:rsidRPr="006058AD" w:rsidRDefault="009375C3" w:rsidP="006058A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</w:pPr>
            <w:r w:rsidRPr="006058AD">
              <w:rPr>
                <w:rFonts w:ascii="Gill Sans MT" w:eastAsia="Times New Roman" w:hAnsi="Gill Sans MT" w:cs="Calibri"/>
                <w:color w:val="000000"/>
                <w:kern w:val="0"/>
                <w:lang w:eastAsia="es-DO"/>
              </w:rPr>
              <w:t>Garantiza el flujo oportuno de la comunicación electrónica de la Institución.</w:t>
            </w:r>
          </w:p>
        </w:tc>
      </w:tr>
    </w:tbl>
    <w:p w:rsidR="006058AD" w:rsidRDefault="006058AD"/>
    <w:p w:rsidR="00F96516" w:rsidRDefault="00F96516"/>
    <w:p w:rsidR="00F96516" w:rsidRDefault="00F96516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35"/>
        <w:gridCol w:w="8635"/>
      </w:tblGrid>
      <w:tr w:rsidR="006E2C93" w:rsidTr="006E2C93">
        <w:trPr>
          <w:jc w:val="center"/>
        </w:trPr>
        <w:tc>
          <w:tcPr>
            <w:tcW w:w="8635" w:type="dxa"/>
          </w:tcPr>
          <w:p w:rsidR="006E2C93" w:rsidRPr="006E2C93" w:rsidRDefault="006E2C93" w:rsidP="006E2C9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E2C93">
              <w:rPr>
                <w:rFonts w:ascii="Gill Sans MT" w:hAnsi="Gill Sans MT"/>
                <w:sz w:val="24"/>
                <w:szCs w:val="24"/>
              </w:rPr>
              <w:t>Elaborado por:</w:t>
            </w:r>
          </w:p>
          <w:p w:rsidR="006E2C93" w:rsidRPr="006E2C93" w:rsidRDefault="006E2C93">
            <w:pPr>
              <w:rPr>
                <w:rFonts w:ascii="Gill Sans MT" w:hAnsi="Gill Sans MT"/>
                <w:sz w:val="24"/>
                <w:szCs w:val="24"/>
              </w:rPr>
            </w:pPr>
          </w:p>
          <w:p w:rsidR="006E2C93" w:rsidRPr="006E2C93" w:rsidRDefault="006E2C93">
            <w:pPr>
              <w:rPr>
                <w:rFonts w:ascii="Gill Sans MT" w:hAnsi="Gill Sans MT"/>
                <w:sz w:val="24"/>
                <w:szCs w:val="24"/>
              </w:rPr>
            </w:pPr>
          </w:p>
          <w:p w:rsidR="006E2C93" w:rsidRPr="006E2C93" w:rsidRDefault="006E2C9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635" w:type="dxa"/>
          </w:tcPr>
          <w:p w:rsidR="006E2C93" w:rsidRPr="006E2C93" w:rsidRDefault="006E2C93" w:rsidP="006E2C9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E2C93">
              <w:rPr>
                <w:rFonts w:ascii="Gill Sans MT" w:hAnsi="Gill Sans MT"/>
                <w:sz w:val="24"/>
                <w:szCs w:val="24"/>
              </w:rPr>
              <w:t>Aprobado por:</w:t>
            </w:r>
          </w:p>
        </w:tc>
      </w:tr>
      <w:tr w:rsidR="006E2C93" w:rsidTr="006E2C93">
        <w:trPr>
          <w:jc w:val="center"/>
        </w:trPr>
        <w:tc>
          <w:tcPr>
            <w:tcW w:w="8635" w:type="dxa"/>
          </w:tcPr>
          <w:p w:rsidR="006E2C93" w:rsidRPr="006E2C93" w:rsidRDefault="006E2C93" w:rsidP="006E2C9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________________________________________</w:t>
            </w:r>
          </w:p>
          <w:p w:rsidR="006E2C93" w:rsidRPr="006E2C93" w:rsidRDefault="006E2C93" w:rsidP="006E2C93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6E2C93">
              <w:rPr>
                <w:rFonts w:ascii="Gill Sans MT" w:hAnsi="Gill Sans MT"/>
                <w:b/>
                <w:bCs/>
                <w:sz w:val="24"/>
                <w:szCs w:val="24"/>
              </w:rPr>
              <w:t>Mercedes Alonzo</w:t>
            </w:r>
          </w:p>
          <w:p w:rsidR="006E2C93" w:rsidRPr="006E2C93" w:rsidRDefault="006E2C93" w:rsidP="006E2C9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E2C93">
              <w:rPr>
                <w:rFonts w:ascii="Gill Sans MT" w:hAnsi="Gill Sans MT"/>
                <w:sz w:val="24"/>
                <w:szCs w:val="24"/>
              </w:rPr>
              <w:t>Encargada de la División de Planificación y Desarrollo</w:t>
            </w:r>
          </w:p>
        </w:tc>
        <w:tc>
          <w:tcPr>
            <w:tcW w:w="8635" w:type="dxa"/>
          </w:tcPr>
          <w:p w:rsidR="006E2C93" w:rsidRPr="006E2C93" w:rsidRDefault="006E2C93" w:rsidP="006E2C9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________________________________________________</w:t>
            </w:r>
          </w:p>
          <w:p w:rsidR="006E2C93" w:rsidRPr="006E2C93" w:rsidRDefault="006E2C93" w:rsidP="006E2C93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6E2C93">
              <w:rPr>
                <w:rFonts w:ascii="Gill Sans MT" w:hAnsi="Gill Sans MT"/>
                <w:b/>
                <w:bCs/>
                <w:sz w:val="24"/>
                <w:szCs w:val="24"/>
              </w:rPr>
              <w:t>Máximo Pérez Pérez</w:t>
            </w:r>
          </w:p>
          <w:p w:rsidR="006E2C93" w:rsidRPr="006E2C93" w:rsidRDefault="006E2C93" w:rsidP="006E2C9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E2C93">
              <w:rPr>
                <w:rFonts w:ascii="Gill Sans MT" w:hAnsi="Gill Sans MT"/>
                <w:sz w:val="24"/>
                <w:szCs w:val="24"/>
              </w:rPr>
              <w:t>Director Ejecutivo</w:t>
            </w:r>
          </w:p>
        </w:tc>
      </w:tr>
    </w:tbl>
    <w:p w:rsidR="00F96516" w:rsidRDefault="00F96516"/>
    <w:sectPr w:rsidR="00F96516" w:rsidSect="004943EA">
      <w:headerReference w:type="default" r:id="rId8"/>
      <w:footerReference w:type="default" r:id="rId9"/>
      <w:pgSz w:w="20160" w:h="12240" w:orient="landscape" w:code="5"/>
      <w:pgMar w:top="19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B1" w:rsidRDefault="00DF45B1" w:rsidP="009375C3">
      <w:pPr>
        <w:spacing w:after="0" w:line="240" w:lineRule="auto"/>
      </w:pPr>
      <w:r>
        <w:separator/>
      </w:r>
    </w:p>
  </w:endnote>
  <w:endnote w:type="continuationSeparator" w:id="1">
    <w:p w:rsidR="00DF45B1" w:rsidRDefault="00DF45B1" w:rsidP="0093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0529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E2C93" w:rsidRDefault="006E2C9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D451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451CC">
              <w:rPr>
                <w:b/>
                <w:bCs/>
                <w:sz w:val="24"/>
                <w:szCs w:val="24"/>
              </w:rPr>
              <w:fldChar w:fldCharType="separate"/>
            </w:r>
            <w:r w:rsidR="00A73EA6">
              <w:rPr>
                <w:b/>
                <w:bCs/>
                <w:noProof/>
              </w:rPr>
              <w:t>48</w:t>
            </w:r>
            <w:r w:rsidR="00D451C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D451C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451CC">
              <w:rPr>
                <w:b/>
                <w:bCs/>
                <w:sz w:val="24"/>
                <w:szCs w:val="24"/>
              </w:rPr>
              <w:fldChar w:fldCharType="separate"/>
            </w:r>
            <w:r w:rsidR="00A73EA6">
              <w:rPr>
                <w:b/>
                <w:bCs/>
                <w:noProof/>
              </w:rPr>
              <w:t>48</w:t>
            </w:r>
            <w:r w:rsidR="00D451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2C93" w:rsidRDefault="006E2C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B1" w:rsidRDefault="00DF45B1" w:rsidP="009375C3">
      <w:pPr>
        <w:spacing w:after="0" w:line="240" w:lineRule="auto"/>
      </w:pPr>
      <w:r>
        <w:separator/>
      </w:r>
    </w:p>
  </w:footnote>
  <w:footnote w:type="continuationSeparator" w:id="1">
    <w:p w:rsidR="00DF45B1" w:rsidRDefault="00DF45B1" w:rsidP="0093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C3" w:rsidRPr="009375C3" w:rsidRDefault="009375C3" w:rsidP="009375C3">
    <w:pPr>
      <w:pStyle w:val="Encabezado"/>
      <w:jc w:val="right"/>
      <w:rPr>
        <w:rFonts w:ascii="Gill Sans MT" w:hAnsi="Gill Sans MT"/>
        <w:color w:val="4472C4" w:themeColor="accent1"/>
        <w:sz w:val="24"/>
        <w:szCs w:val="24"/>
      </w:rPr>
    </w:pPr>
    <w:r w:rsidRPr="009375C3">
      <w:rPr>
        <w:rFonts w:ascii="Gill Sans MT" w:hAnsi="Gill Sans MT"/>
        <w:bCs/>
        <w:noProof/>
        <w:color w:val="4472C4" w:themeColor="accent1"/>
        <w:sz w:val="44"/>
        <w:szCs w:val="44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1809750" cy="638175"/>
          <wp:effectExtent l="0" t="0" r="0" b="9525"/>
          <wp:wrapSquare wrapText="bothSides"/>
          <wp:docPr id="1766437129" name="Imagen 2" descr="Text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8C3FC0-1C1F-0C2E-3F63-AB178E641A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146" name="Imagen 2" descr="Text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8C3FC0-1C1F-0C2E-3F63-AB178E641A8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75C3">
      <w:rPr>
        <w:rFonts w:ascii="Gill Sans MT" w:hAnsi="Gill Sans MT"/>
        <w:color w:val="4472C4" w:themeColor="accent1"/>
        <w:sz w:val="24"/>
        <w:szCs w:val="24"/>
      </w:rPr>
      <w:t>Plan Operativo Anual 2024</w:t>
    </w:r>
  </w:p>
  <w:p w:rsidR="009375C3" w:rsidRPr="009375C3" w:rsidRDefault="009375C3" w:rsidP="009375C3">
    <w:pPr>
      <w:pStyle w:val="Encabezado"/>
      <w:jc w:val="right"/>
      <w:rPr>
        <w:rFonts w:ascii="Gill Sans MT" w:hAnsi="Gill Sans MT"/>
        <w:color w:val="4472C4" w:themeColor="accent1"/>
        <w:sz w:val="24"/>
        <w:szCs w:val="24"/>
      </w:rPr>
    </w:pPr>
    <w:r w:rsidRPr="009375C3">
      <w:rPr>
        <w:rFonts w:ascii="Gill Sans MT" w:hAnsi="Gill Sans MT"/>
        <w:color w:val="4472C4" w:themeColor="accent1"/>
        <w:sz w:val="24"/>
        <w:szCs w:val="24"/>
      </w:rPr>
      <w:t>-POA2024-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058AD"/>
    <w:rsid w:val="00064F88"/>
    <w:rsid w:val="001D4E3A"/>
    <w:rsid w:val="00200B7E"/>
    <w:rsid w:val="004943EA"/>
    <w:rsid w:val="005204B1"/>
    <w:rsid w:val="00565E83"/>
    <w:rsid w:val="006058AD"/>
    <w:rsid w:val="006E2C93"/>
    <w:rsid w:val="00751459"/>
    <w:rsid w:val="00804002"/>
    <w:rsid w:val="009375C3"/>
    <w:rsid w:val="00A73EA6"/>
    <w:rsid w:val="00D451CC"/>
    <w:rsid w:val="00DF45B1"/>
    <w:rsid w:val="00EC436C"/>
    <w:rsid w:val="00F1199F"/>
    <w:rsid w:val="00F55161"/>
    <w:rsid w:val="00F9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CC"/>
  </w:style>
  <w:style w:type="paragraph" w:styleId="Ttulo1">
    <w:name w:val="heading 1"/>
    <w:basedOn w:val="Normal"/>
    <w:next w:val="Normal"/>
    <w:link w:val="Ttulo1Car"/>
    <w:uiPriority w:val="9"/>
    <w:qFormat/>
    <w:rsid w:val="006058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58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58A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58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58A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58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58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58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58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58A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5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58A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58AD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58AD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58A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58A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58A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58A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058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05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058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058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058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058A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058A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058AD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58A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58AD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058AD"/>
    <w:rPr>
      <w:b/>
      <w:bCs/>
      <w:smallCaps/>
      <w:color w:val="2F5496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6058A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58AD"/>
    <w:rPr>
      <w:color w:val="800080"/>
      <w:u w:val="single"/>
    </w:rPr>
  </w:style>
  <w:style w:type="paragraph" w:customStyle="1" w:styleId="msonormal0">
    <w:name w:val="msonormal"/>
    <w:basedOn w:val="Normal"/>
    <w:rsid w:val="0060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DO"/>
    </w:rPr>
  </w:style>
  <w:style w:type="paragraph" w:customStyle="1" w:styleId="font5">
    <w:name w:val="font5"/>
    <w:basedOn w:val="Normal"/>
    <w:rsid w:val="006058AD"/>
    <w:pPr>
      <w:spacing w:before="100" w:beforeAutospacing="1" w:after="100" w:afterAutospacing="1" w:line="240" w:lineRule="auto"/>
    </w:pPr>
    <w:rPr>
      <w:rFonts w:ascii="Gill Sans MT" w:eastAsia="Times New Roman" w:hAnsi="Gill Sans MT" w:cs="Times New Roman"/>
      <w:color w:val="333333"/>
      <w:kern w:val="0"/>
      <w:sz w:val="24"/>
      <w:szCs w:val="24"/>
      <w:lang w:eastAsia="es-DO"/>
    </w:rPr>
  </w:style>
  <w:style w:type="paragraph" w:customStyle="1" w:styleId="font6">
    <w:name w:val="font6"/>
    <w:basedOn w:val="Normal"/>
    <w:rsid w:val="006058AD"/>
    <w:pPr>
      <w:spacing w:before="100" w:beforeAutospacing="1" w:after="100" w:afterAutospacing="1" w:line="240" w:lineRule="auto"/>
    </w:pPr>
    <w:rPr>
      <w:rFonts w:ascii="Gill Sans MT" w:eastAsia="Times New Roman" w:hAnsi="Gill Sans MT" w:cs="Times New Roman"/>
      <w:color w:val="000000"/>
      <w:kern w:val="0"/>
      <w:sz w:val="28"/>
      <w:szCs w:val="28"/>
      <w:lang w:eastAsia="es-DO"/>
    </w:rPr>
  </w:style>
  <w:style w:type="paragraph" w:customStyle="1" w:styleId="xl66">
    <w:name w:val="xl66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67">
    <w:name w:val="xl67"/>
    <w:basedOn w:val="Normal"/>
    <w:rsid w:val="006058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68">
    <w:name w:val="xl68"/>
    <w:basedOn w:val="Normal"/>
    <w:rsid w:val="006058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69">
    <w:name w:val="xl69"/>
    <w:basedOn w:val="Normal"/>
    <w:rsid w:val="006058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70">
    <w:name w:val="xl70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71">
    <w:name w:val="xl71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72">
    <w:name w:val="xl72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73">
    <w:name w:val="xl73"/>
    <w:basedOn w:val="Normal"/>
    <w:rsid w:val="006058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74">
    <w:name w:val="xl74"/>
    <w:basedOn w:val="Normal"/>
    <w:rsid w:val="006058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75">
    <w:name w:val="xl75"/>
    <w:basedOn w:val="Normal"/>
    <w:rsid w:val="006058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76">
    <w:name w:val="xl76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77">
    <w:name w:val="xl77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78">
    <w:name w:val="xl78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79">
    <w:name w:val="xl79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80">
    <w:name w:val="xl80"/>
    <w:basedOn w:val="Normal"/>
    <w:rsid w:val="006058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81">
    <w:name w:val="xl81"/>
    <w:basedOn w:val="Normal"/>
    <w:rsid w:val="006058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82">
    <w:name w:val="xl82"/>
    <w:basedOn w:val="Normal"/>
    <w:rsid w:val="006058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83">
    <w:name w:val="xl83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84">
    <w:name w:val="xl84"/>
    <w:basedOn w:val="Normal"/>
    <w:rsid w:val="00605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85">
    <w:name w:val="xl85"/>
    <w:basedOn w:val="Normal"/>
    <w:rsid w:val="006058A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86">
    <w:name w:val="xl86"/>
    <w:basedOn w:val="Normal"/>
    <w:rsid w:val="006058A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87">
    <w:name w:val="xl87"/>
    <w:basedOn w:val="Normal"/>
    <w:rsid w:val="00605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88">
    <w:name w:val="xl88"/>
    <w:basedOn w:val="Normal"/>
    <w:rsid w:val="00605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89">
    <w:name w:val="xl89"/>
    <w:basedOn w:val="Normal"/>
    <w:rsid w:val="006058A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90">
    <w:name w:val="xl90"/>
    <w:basedOn w:val="Normal"/>
    <w:rsid w:val="006058A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91">
    <w:name w:val="xl91"/>
    <w:basedOn w:val="Normal"/>
    <w:rsid w:val="006058A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92">
    <w:name w:val="xl92"/>
    <w:basedOn w:val="Normal"/>
    <w:rsid w:val="00605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93">
    <w:name w:val="xl93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94">
    <w:name w:val="xl94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95">
    <w:name w:val="xl95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96">
    <w:name w:val="xl96"/>
    <w:basedOn w:val="Normal"/>
    <w:rsid w:val="006058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97">
    <w:name w:val="xl97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98">
    <w:name w:val="xl98"/>
    <w:basedOn w:val="Normal"/>
    <w:rsid w:val="006058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99">
    <w:name w:val="xl99"/>
    <w:basedOn w:val="Normal"/>
    <w:rsid w:val="006058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100">
    <w:name w:val="xl100"/>
    <w:basedOn w:val="Normal"/>
    <w:rsid w:val="006058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101">
    <w:name w:val="xl101"/>
    <w:basedOn w:val="Normal"/>
    <w:rsid w:val="006058A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02">
    <w:name w:val="xl102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03">
    <w:name w:val="xl103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04">
    <w:name w:val="xl104"/>
    <w:basedOn w:val="Normal"/>
    <w:rsid w:val="006058A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05">
    <w:name w:val="xl105"/>
    <w:basedOn w:val="Normal"/>
    <w:rsid w:val="006058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06">
    <w:name w:val="xl106"/>
    <w:basedOn w:val="Normal"/>
    <w:rsid w:val="006058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07">
    <w:name w:val="xl107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08">
    <w:name w:val="xl108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09">
    <w:name w:val="xl109"/>
    <w:basedOn w:val="Normal"/>
    <w:rsid w:val="006058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10">
    <w:name w:val="xl110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11">
    <w:name w:val="xl111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12">
    <w:name w:val="xl112"/>
    <w:basedOn w:val="Normal"/>
    <w:rsid w:val="006058A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13">
    <w:name w:val="xl113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14">
    <w:name w:val="xl114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15">
    <w:name w:val="xl115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16">
    <w:name w:val="xl116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17">
    <w:name w:val="xl117"/>
    <w:basedOn w:val="Normal"/>
    <w:rsid w:val="006058A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18">
    <w:name w:val="xl118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19">
    <w:name w:val="xl119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20">
    <w:name w:val="xl120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21">
    <w:name w:val="xl121"/>
    <w:basedOn w:val="Normal"/>
    <w:rsid w:val="006058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122">
    <w:name w:val="xl122"/>
    <w:basedOn w:val="Normal"/>
    <w:rsid w:val="006058A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123">
    <w:name w:val="xl123"/>
    <w:basedOn w:val="Normal"/>
    <w:rsid w:val="006058A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124">
    <w:name w:val="xl124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125">
    <w:name w:val="xl125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126">
    <w:name w:val="xl126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127">
    <w:name w:val="xl127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28">
    <w:name w:val="xl128"/>
    <w:basedOn w:val="Normal"/>
    <w:rsid w:val="006058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29">
    <w:name w:val="xl129"/>
    <w:basedOn w:val="Normal"/>
    <w:rsid w:val="006058A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30">
    <w:name w:val="xl130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31">
    <w:name w:val="xl131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32">
    <w:name w:val="xl132"/>
    <w:basedOn w:val="Normal"/>
    <w:rsid w:val="006058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DO"/>
    </w:rPr>
  </w:style>
  <w:style w:type="paragraph" w:customStyle="1" w:styleId="xl133">
    <w:name w:val="xl133"/>
    <w:basedOn w:val="Normal"/>
    <w:rsid w:val="006058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34">
    <w:name w:val="xl134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35">
    <w:name w:val="xl135"/>
    <w:basedOn w:val="Normal"/>
    <w:rsid w:val="006058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36">
    <w:name w:val="xl136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137">
    <w:name w:val="xl137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138">
    <w:name w:val="xl138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139">
    <w:name w:val="xl139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b/>
      <w:bCs/>
      <w:kern w:val="0"/>
      <w:sz w:val="24"/>
      <w:szCs w:val="24"/>
      <w:lang w:eastAsia="es-DO"/>
    </w:rPr>
  </w:style>
  <w:style w:type="paragraph" w:customStyle="1" w:styleId="xl140">
    <w:name w:val="xl140"/>
    <w:basedOn w:val="Normal"/>
    <w:rsid w:val="00605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41">
    <w:name w:val="xl141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42">
    <w:name w:val="xl142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43">
    <w:name w:val="xl143"/>
    <w:basedOn w:val="Normal"/>
    <w:rsid w:val="00605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44">
    <w:name w:val="xl144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45">
    <w:name w:val="xl145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46">
    <w:name w:val="xl146"/>
    <w:basedOn w:val="Normal"/>
    <w:rsid w:val="006058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47">
    <w:name w:val="xl147"/>
    <w:basedOn w:val="Normal"/>
    <w:rsid w:val="006058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48">
    <w:name w:val="xl148"/>
    <w:basedOn w:val="Normal"/>
    <w:rsid w:val="006058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49">
    <w:name w:val="xl149"/>
    <w:basedOn w:val="Normal"/>
    <w:rsid w:val="006058A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50">
    <w:name w:val="xl150"/>
    <w:basedOn w:val="Normal"/>
    <w:rsid w:val="006058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51">
    <w:name w:val="xl151"/>
    <w:basedOn w:val="Normal"/>
    <w:rsid w:val="006058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52">
    <w:name w:val="xl152"/>
    <w:basedOn w:val="Normal"/>
    <w:rsid w:val="006058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53">
    <w:name w:val="xl153"/>
    <w:basedOn w:val="Normal"/>
    <w:rsid w:val="006058A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54">
    <w:name w:val="xl154"/>
    <w:basedOn w:val="Normal"/>
    <w:rsid w:val="006058A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55">
    <w:name w:val="xl155"/>
    <w:basedOn w:val="Normal"/>
    <w:rsid w:val="006058A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56">
    <w:name w:val="xl156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57">
    <w:name w:val="xl157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58">
    <w:name w:val="xl158"/>
    <w:basedOn w:val="Normal"/>
    <w:rsid w:val="006058AD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59">
    <w:name w:val="xl159"/>
    <w:basedOn w:val="Normal"/>
    <w:rsid w:val="006058A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60">
    <w:name w:val="xl160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61">
    <w:name w:val="xl161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62">
    <w:name w:val="xl162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63">
    <w:name w:val="xl163"/>
    <w:basedOn w:val="Normal"/>
    <w:rsid w:val="00605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64">
    <w:name w:val="xl164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65">
    <w:name w:val="xl165"/>
    <w:basedOn w:val="Normal"/>
    <w:rsid w:val="00605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66">
    <w:name w:val="xl166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67">
    <w:name w:val="xl167"/>
    <w:basedOn w:val="Normal"/>
    <w:rsid w:val="006058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68">
    <w:name w:val="xl168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69">
    <w:name w:val="xl169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70">
    <w:name w:val="xl170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71">
    <w:name w:val="xl171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72">
    <w:name w:val="xl172"/>
    <w:basedOn w:val="Normal"/>
    <w:rsid w:val="006058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73">
    <w:name w:val="xl173"/>
    <w:basedOn w:val="Normal"/>
    <w:rsid w:val="006058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74">
    <w:name w:val="xl174"/>
    <w:basedOn w:val="Normal"/>
    <w:rsid w:val="006058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75">
    <w:name w:val="xl175"/>
    <w:basedOn w:val="Normal"/>
    <w:rsid w:val="006058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76">
    <w:name w:val="xl176"/>
    <w:basedOn w:val="Normal"/>
    <w:rsid w:val="00605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77">
    <w:name w:val="xl177"/>
    <w:basedOn w:val="Normal"/>
    <w:rsid w:val="006058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78">
    <w:name w:val="xl178"/>
    <w:basedOn w:val="Normal"/>
    <w:rsid w:val="00605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79">
    <w:name w:val="xl179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80">
    <w:name w:val="xl180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81">
    <w:name w:val="xl181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82">
    <w:name w:val="xl182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83">
    <w:name w:val="xl183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kern w:val="0"/>
      <w:sz w:val="24"/>
      <w:szCs w:val="24"/>
      <w:lang w:eastAsia="es-DO"/>
    </w:rPr>
  </w:style>
  <w:style w:type="paragraph" w:customStyle="1" w:styleId="xl184">
    <w:name w:val="xl184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85">
    <w:name w:val="xl185"/>
    <w:basedOn w:val="Normal"/>
    <w:rsid w:val="006058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86">
    <w:name w:val="xl186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87">
    <w:name w:val="xl187"/>
    <w:basedOn w:val="Normal"/>
    <w:rsid w:val="006058A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88">
    <w:name w:val="xl188"/>
    <w:basedOn w:val="Normal"/>
    <w:rsid w:val="006058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89">
    <w:name w:val="xl189"/>
    <w:basedOn w:val="Normal"/>
    <w:rsid w:val="006058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90">
    <w:name w:val="xl190"/>
    <w:basedOn w:val="Normal"/>
    <w:rsid w:val="006058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91">
    <w:name w:val="xl191"/>
    <w:basedOn w:val="Normal"/>
    <w:rsid w:val="006058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92">
    <w:name w:val="xl192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93">
    <w:name w:val="xl193"/>
    <w:basedOn w:val="Normal"/>
    <w:rsid w:val="006058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94">
    <w:name w:val="xl194"/>
    <w:basedOn w:val="Normal"/>
    <w:rsid w:val="006058A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95">
    <w:name w:val="xl195"/>
    <w:basedOn w:val="Normal"/>
    <w:rsid w:val="0060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40C28"/>
      <w:kern w:val="0"/>
      <w:sz w:val="24"/>
      <w:szCs w:val="24"/>
      <w:lang w:eastAsia="es-DO"/>
    </w:rPr>
  </w:style>
  <w:style w:type="paragraph" w:customStyle="1" w:styleId="xl196">
    <w:name w:val="xl196"/>
    <w:basedOn w:val="Normal"/>
    <w:rsid w:val="0060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97">
    <w:name w:val="xl197"/>
    <w:basedOn w:val="Normal"/>
    <w:rsid w:val="0060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ill Sans MT" w:eastAsia="Times New Roman" w:hAnsi="Gill Sans MT" w:cs="Times New Roman"/>
      <w:color w:val="000000"/>
      <w:kern w:val="0"/>
      <w:sz w:val="24"/>
      <w:szCs w:val="24"/>
      <w:lang w:eastAsia="es-DO"/>
    </w:rPr>
  </w:style>
  <w:style w:type="paragraph" w:customStyle="1" w:styleId="xl198">
    <w:name w:val="xl198"/>
    <w:basedOn w:val="Normal"/>
    <w:rsid w:val="006058A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kern w:val="0"/>
      <w:sz w:val="28"/>
      <w:szCs w:val="28"/>
      <w:lang w:eastAsia="es-DO"/>
    </w:rPr>
  </w:style>
  <w:style w:type="paragraph" w:customStyle="1" w:styleId="xl199">
    <w:name w:val="xl199"/>
    <w:basedOn w:val="Normal"/>
    <w:rsid w:val="006058A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kern w:val="0"/>
      <w:sz w:val="28"/>
      <w:szCs w:val="28"/>
      <w:lang w:eastAsia="es-DO"/>
    </w:rPr>
  </w:style>
  <w:style w:type="paragraph" w:customStyle="1" w:styleId="xl200">
    <w:name w:val="xl200"/>
    <w:basedOn w:val="Normal"/>
    <w:rsid w:val="006058A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kern w:val="0"/>
      <w:sz w:val="28"/>
      <w:szCs w:val="28"/>
      <w:lang w:eastAsia="es-DO"/>
    </w:rPr>
  </w:style>
  <w:style w:type="paragraph" w:customStyle="1" w:styleId="xl201">
    <w:name w:val="xl201"/>
    <w:basedOn w:val="Normal"/>
    <w:rsid w:val="006058A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kern w:val="0"/>
      <w:sz w:val="28"/>
      <w:szCs w:val="28"/>
      <w:lang w:eastAsia="es-DO"/>
    </w:rPr>
  </w:style>
  <w:style w:type="paragraph" w:customStyle="1" w:styleId="xl202">
    <w:name w:val="xl202"/>
    <w:basedOn w:val="Normal"/>
    <w:rsid w:val="006058A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kern w:val="0"/>
      <w:sz w:val="28"/>
      <w:szCs w:val="28"/>
      <w:lang w:eastAsia="es-DO"/>
    </w:rPr>
  </w:style>
  <w:style w:type="paragraph" w:customStyle="1" w:styleId="xl203">
    <w:name w:val="xl203"/>
    <w:basedOn w:val="Normal"/>
    <w:rsid w:val="006058A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kern w:val="0"/>
      <w:sz w:val="28"/>
      <w:szCs w:val="28"/>
      <w:lang w:eastAsia="es-DO"/>
    </w:rPr>
  </w:style>
  <w:style w:type="paragraph" w:customStyle="1" w:styleId="xl204">
    <w:name w:val="xl204"/>
    <w:basedOn w:val="Normal"/>
    <w:rsid w:val="006058A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kern w:val="0"/>
      <w:sz w:val="28"/>
      <w:szCs w:val="28"/>
      <w:lang w:eastAsia="es-DO"/>
    </w:rPr>
  </w:style>
  <w:style w:type="paragraph" w:customStyle="1" w:styleId="xl205">
    <w:name w:val="xl205"/>
    <w:basedOn w:val="Normal"/>
    <w:rsid w:val="006058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kern w:val="0"/>
      <w:sz w:val="28"/>
      <w:szCs w:val="28"/>
      <w:lang w:eastAsia="es-DO"/>
    </w:rPr>
  </w:style>
  <w:style w:type="paragraph" w:customStyle="1" w:styleId="xl206">
    <w:name w:val="xl206"/>
    <w:basedOn w:val="Normal"/>
    <w:rsid w:val="006058A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ill Sans MT" w:eastAsia="Times New Roman" w:hAnsi="Gill Sans MT" w:cs="Times New Roman"/>
      <w:b/>
      <w:bCs/>
      <w:kern w:val="0"/>
      <w:sz w:val="28"/>
      <w:szCs w:val="28"/>
      <w:lang w:eastAsia="es-DO"/>
    </w:rPr>
  </w:style>
  <w:style w:type="paragraph" w:styleId="Encabezado">
    <w:name w:val="header"/>
    <w:basedOn w:val="Normal"/>
    <w:link w:val="EncabezadoCar"/>
    <w:uiPriority w:val="99"/>
    <w:unhideWhenUsed/>
    <w:rsid w:val="0093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5C3"/>
  </w:style>
  <w:style w:type="paragraph" w:styleId="Piedepgina">
    <w:name w:val="footer"/>
    <w:basedOn w:val="Normal"/>
    <w:link w:val="PiedepginaCar"/>
    <w:uiPriority w:val="99"/>
    <w:unhideWhenUsed/>
    <w:rsid w:val="00937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5C3"/>
  </w:style>
  <w:style w:type="table" w:styleId="Tablaconcuadrcula">
    <w:name w:val="Table Grid"/>
    <w:basedOn w:val="Tablanormal"/>
    <w:uiPriority w:val="39"/>
    <w:rsid w:val="006E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FC0F-5002-4D20-B32D-0E6B6D8A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5830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Terrero Sánchez</dc:creator>
  <cp:lastModifiedBy>RAI INAZUCAR</cp:lastModifiedBy>
  <cp:revision>2</cp:revision>
  <cp:lastPrinted>2024-03-14T19:44:00Z</cp:lastPrinted>
  <dcterms:created xsi:type="dcterms:W3CDTF">2024-03-15T15:28:00Z</dcterms:created>
  <dcterms:modified xsi:type="dcterms:W3CDTF">2024-03-15T15:28:00Z</dcterms:modified>
</cp:coreProperties>
</file>